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0002064940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Chaudhuri Sarbani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4701</w:t>
            </w:r>
          </w:p>
        </w:tc>
        <w:tc>
          <w:tcPr>
            <w:tcW w:w="1377" w:type="dxa"/>
            <w:tcBorders/>
            <w:vAlign w:val="center"/>
          </w:tcPr>
          <w:p>
            <w:pPr>
              <w:pStyle w:val="TableContents"/>
              <w:bidi w:val="0"/>
              <w:spacing w:before="0" w:after="283"/>
              <w:jc w:val="left"/>
              <w:rPr/>
            </w:pPr>
            <w:r>
              <w:rPr/>
              <w:t>16450.68</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4701</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2"/>
        <w:gridCol w:w="8453"/>
      </w:tblGrid>
      <w:tr>
        <w:trPr/>
        <w:tc>
          <w:tcPr>
            <w:tcW w:w="1752" w:type="dxa"/>
            <w:tcBorders/>
            <w:vAlign w:val="center"/>
          </w:tcPr>
          <w:p>
            <w:pPr>
              <w:pStyle w:val="TableContents"/>
              <w:bidi w:val="0"/>
              <w:spacing w:before="0" w:after="283"/>
              <w:jc w:val="left"/>
              <w:rPr/>
            </w:pPr>
            <w:r>
              <w:rPr/>
              <w:t>Remarks</w:t>
            </w:r>
          </w:p>
        </w:tc>
        <w:tc>
          <w:tcPr>
            <w:tcW w:w="845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2" w:type="dxa"/>
            <w:tcBorders/>
            <w:vAlign w:val="center"/>
          </w:tcPr>
          <w:p>
            <w:pPr>
              <w:pStyle w:val="TableContents"/>
              <w:bidi w:val="0"/>
              <w:spacing w:before="0" w:after="283"/>
              <w:jc w:val="left"/>
              <w:rPr/>
            </w:pPr>
            <w:r>
              <w:rPr/>
              <w:t>Date of Notice</w:t>
            </w:r>
          </w:p>
        </w:tc>
        <w:tc>
          <w:tcPr>
            <w:tcW w:w="8453"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2" w:type="dxa"/>
            <w:tcBorders/>
            <w:vAlign w:val="center"/>
          </w:tcPr>
          <w:p>
            <w:pPr>
              <w:pStyle w:val="TableContents"/>
              <w:bidi w:val="0"/>
              <w:spacing w:before="0" w:after="283"/>
              <w:jc w:val="left"/>
              <w:rPr/>
            </w:pPr>
            <w:r>
              <w:rPr/>
              <w:t>Signature</w:t>
            </w:r>
          </w:p>
        </w:tc>
        <w:tc>
          <w:tcPr>
            <w:tcW w:w="8453" w:type="dxa"/>
            <w:tcBorders/>
            <w:vAlign w:val="center"/>
          </w:tcPr>
          <w:p>
            <w:pPr>
              <w:pStyle w:val="TableContents"/>
              <w:bidi w:val="0"/>
              <w:spacing w:before="0" w:after="0"/>
              <w:jc w:val="left"/>
              <w:rPr/>
            </w:pPr>
            <w:r>
              <w:rPr/>
              <w:t>/s/Wade Moss, as a duly authorized representative of Fidelity Brokerage Services LLC, as attorney-in-fact for Sarbani Chaudhuri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3101</Characters>
  <CharactersWithSpaces>3652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