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0001551778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Malik Fady Ibraham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10670</w:t>
            </w:r>
          </w:p>
        </w:tc>
        <w:tc>
          <w:tcPr>
            <w:tcW w:w="1377" w:type="dxa"/>
            <w:tcBorders/>
            <w:vAlign w:val="center"/>
          </w:tcPr>
          <w:p>
            <w:pPr>
              <w:pStyle w:val="TableContents"/>
              <w:bidi w:val="0"/>
              <w:spacing w:before="0" w:after="283"/>
              <w:jc w:val="left"/>
              <w:rPr/>
            </w:pPr>
            <w:r>
              <w:rPr/>
              <w:t>41393.20</w:t>
            </w:r>
          </w:p>
        </w:tc>
        <w:tc>
          <w:tcPr>
            <w:tcW w:w="1552" w:type="dxa"/>
            <w:tcBorders/>
            <w:vAlign w:val="center"/>
          </w:tcPr>
          <w:p>
            <w:pPr>
              <w:pStyle w:val="TableContents"/>
              <w:bidi w:val="0"/>
              <w:spacing w:before="0" w:after="283"/>
              <w:jc w:val="left"/>
              <w:rPr/>
            </w:pPr>
            <w:r>
              <w:rPr/>
              <w:t>109193549</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10670</w:t>
            </w:r>
          </w:p>
        </w:tc>
        <w:tc>
          <w:tcPr>
            <w:tcW w:w="1046" w:type="dxa"/>
            <w:tcBorders/>
            <w:vAlign w:val="center"/>
          </w:tcPr>
          <w:p>
            <w:pPr>
              <w:pStyle w:val="TableContents"/>
              <w:bidi w:val="0"/>
              <w:spacing w:before="0" w:after="283"/>
              <w:jc w:val="left"/>
              <w:rPr/>
            </w:pPr>
            <w:r>
              <w:rPr/>
              <w:t>06/18/2026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Gary Redman, as a duly authorized representative of Fidelity Brokerage Services LLC, as attorney-in-fact for Fady Malik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3099</Characters>
  <CharactersWithSpaces>3652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