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Gaurav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22"/>
        <w:gridCol w:w="792"/>
        <w:gridCol w:w="612"/>
        <w:gridCol w:w="342"/>
        <w:gridCol w:w="817"/>
        <w:gridCol w:w="426"/>
        <w:gridCol w:w="751"/>
        <w:gridCol w:w="1307"/>
        <w:gridCol w:w="972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2,728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3.606</w:t>
            </w:r>
            <w:r>
              <w:rPr/>
              <w:t xml:space="preserve"> 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1,043,327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207,897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198,341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Gaurav D. Shah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include Restricted Stock Units ("RSUs") that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common stock were sold by the Reporting Person in order to pay tax withholding obligations in connection with the vesting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Gaurav Shah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5922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3377</Characters>
  <CharactersWithSpaces>3932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